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E6E" w:rsidRDefault="001160B7">
      <w:pPr>
        <w:rPr>
          <w:sz w:val="24"/>
          <w:szCs w:val="24"/>
          <w:u w:val="single"/>
        </w:rPr>
      </w:pPr>
      <w:r w:rsidRPr="001160B7">
        <w:rPr>
          <w:noProof/>
          <w:sz w:val="24"/>
          <w:szCs w:val="24"/>
          <w:u w:val="single"/>
        </w:rPr>
        <mc:AlternateContent>
          <mc:Choice Requires="wps">
            <w:drawing>
              <wp:anchor distT="45720" distB="45720" distL="114300" distR="114300" simplePos="0" relativeHeight="251661312" behindDoc="1" locked="0" layoutInCell="1" allowOverlap="1">
                <wp:simplePos x="0" y="0"/>
                <wp:positionH relativeFrom="margin">
                  <wp:align>left</wp:align>
                </wp:positionH>
                <wp:positionV relativeFrom="paragraph">
                  <wp:posOffset>-314325</wp:posOffset>
                </wp:positionV>
                <wp:extent cx="6054090" cy="657225"/>
                <wp:effectExtent l="0" t="0" r="22860" b="28575"/>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090" cy="657225"/>
                        </a:xfrm>
                        <a:prstGeom prst="rect">
                          <a:avLst/>
                        </a:prstGeom>
                        <a:solidFill>
                          <a:srgbClr val="FFFFFF"/>
                        </a:solidFill>
                        <a:ln w="9525">
                          <a:solidFill>
                            <a:schemeClr val="bg1"/>
                          </a:solidFill>
                          <a:miter lim="800000"/>
                          <a:headEnd/>
                          <a:tailEnd/>
                        </a:ln>
                      </wps:spPr>
                      <wps:txbx>
                        <w:txbxContent>
                          <w:p w:rsidR="001160B7" w:rsidRDefault="001160B7" w:rsidP="001160B7">
                            <w:pPr>
                              <w:jc w:val="center"/>
                              <w:rPr>
                                <w:b/>
                                <w:bCs/>
                                <w:sz w:val="28"/>
                                <w:szCs w:val="28"/>
                              </w:rPr>
                            </w:pPr>
                            <w:r w:rsidRPr="001160B7">
                              <w:rPr>
                                <w:b/>
                                <w:bCs/>
                                <w:sz w:val="28"/>
                                <w:szCs w:val="28"/>
                              </w:rPr>
                              <w:t>§ 97 Ansøgning – betaling af udgifter</w:t>
                            </w:r>
                          </w:p>
                          <w:p w:rsidR="001160B7" w:rsidRPr="001160B7" w:rsidRDefault="001160B7" w:rsidP="001160B7">
                            <w:pPr>
                              <w:jc w:val="right"/>
                              <w:rPr>
                                <w:sz w:val="24"/>
                                <w:szCs w:val="24"/>
                              </w:rPr>
                            </w:pPr>
                            <w:r>
                              <w:rPr>
                                <w:sz w:val="24"/>
                                <w:szCs w:val="24"/>
                              </w:rPr>
                              <w:t>Modtaget d. 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0;margin-top:-24.75pt;width:476.7pt;height:51.7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" strokecolor="white [3212]">
                <v:textbox>
                  <w:txbxContent>
                    <w:p w:rsidR="001160B7" w:rsidRDefault="001160B7" w:rsidP="001160B7">
                      <w:pPr>
                        <w:jc w:val="center"/>
                        <w:rPr>
                          <w:b/>
                          <w:bCs/>
                          <w:sz w:val="28"/>
                          <w:szCs w:val="28"/>
                        </w:rPr>
                      </w:pPr>
                      <w:r w:rsidRPr="001160B7">
                        <w:rPr>
                          <w:b/>
                          <w:bCs/>
                          <w:sz w:val="28"/>
                          <w:szCs w:val="28"/>
                        </w:rPr>
                        <w:t>§ 97 Ansøgning – betaling af udgifter</w:t>
                      </w:r>
                    </w:p>
                    <w:p w:rsidR="001160B7" w:rsidRPr="001160B7" w:rsidRDefault="001160B7" w:rsidP="001160B7">
                      <w:pPr>
                        <w:jc w:val="right"/>
                        <w:rPr>
                          <w:sz w:val="24"/>
                          <w:szCs w:val="24"/>
                        </w:rPr>
                      </w:pPr>
                      <w:r>
                        <w:rPr>
                          <w:sz w:val="24"/>
                          <w:szCs w:val="24"/>
                        </w:rPr>
                        <w:t>Modtaget d. _____________</w:t>
                      </w:r>
                    </w:p>
                  </w:txbxContent>
                </v:textbox>
                <w10:wrap anchorx="margin"/>
              </v:shape>
            </w:pict>
          </mc:Fallback>
        </mc:AlternateContent>
      </w:r>
    </w:p>
    <w:p w:rsidR="001160B7" w:rsidRPr="001160B7" w:rsidRDefault="001160B7" w:rsidP="001160B7">
      <w:pPr>
        <w:rPr>
          <w:sz w:val="24"/>
          <w:szCs w:val="24"/>
        </w:rPr>
      </w:pPr>
      <w:r w:rsidRPr="001160B7">
        <w:rPr>
          <w:sz w:val="24"/>
          <w:szCs w:val="24"/>
        </w:rPr>
        <w:t>I forbindelse med min bevilgede ledsageordning søger jeg om dækning af mine udgifter til ledsagerens befordring og andre aktiviteter</w:t>
      </w:r>
      <w:r w:rsidR="00B20B08">
        <w:rPr>
          <w:sz w:val="24"/>
          <w:szCs w:val="24"/>
        </w:rPr>
        <w:t xml:space="preserve">. </w:t>
      </w:r>
      <w:bookmarkStart w:id="0" w:name="_GoBack"/>
      <w:bookmarkEnd w:id="0"/>
    </w:p>
    <w:p w:rsidR="00136806" w:rsidRPr="006D1DE2" w:rsidRDefault="006D1DE2">
      <w:pPr>
        <w:rPr>
          <w:sz w:val="24"/>
          <w:szCs w:val="24"/>
        </w:rPr>
      </w:pPr>
      <w:r w:rsidRPr="006D1DE2">
        <w:rPr>
          <w:sz w:val="24"/>
          <w:szCs w:val="24"/>
          <w:u w:val="single"/>
        </w:rPr>
        <w:t>Ansøger</w:t>
      </w:r>
      <w:r w:rsidRPr="006D1DE2">
        <w:rPr>
          <w:sz w:val="24"/>
          <w:szCs w:val="24"/>
        </w:rPr>
        <w:t xml:space="preserve">: </w:t>
      </w:r>
    </w:p>
    <w:tbl>
      <w:tblPr>
        <w:tblStyle w:val="Tabel-Gitter"/>
        <w:tblW w:w="0" w:type="auto"/>
        <w:tblLook w:val="04A0" w:firstRow="1" w:lastRow="0" w:firstColumn="1" w:lastColumn="0" w:noHBand="0" w:noVBand="1"/>
      </w:tblPr>
      <w:tblGrid>
        <w:gridCol w:w="4814"/>
        <w:gridCol w:w="4814"/>
      </w:tblGrid>
      <w:tr w:rsidR="006D1DE2" w:rsidTr="006D1DE2">
        <w:trPr>
          <w:trHeight w:val="493"/>
        </w:trPr>
        <w:tc>
          <w:tcPr>
            <w:tcW w:w="4814" w:type="dxa"/>
          </w:tcPr>
          <w:p w:rsidR="006D1DE2" w:rsidRPr="00136806" w:rsidRDefault="006D1DE2" w:rsidP="00AF16BE">
            <w:pPr>
              <w:rPr>
                <w:b/>
                <w:bCs/>
                <w:sz w:val="28"/>
                <w:szCs w:val="28"/>
              </w:rPr>
            </w:pPr>
            <w:r w:rsidRPr="006D1DE2">
              <w:rPr>
                <w:sz w:val="24"/>
                <w:szCs w:val="24"/>
              </w:rPr>
              <w:t>Navn</w:t>
            </w:r>
            <w:r>
              <w:rPr>
                <w:sz w:val="24"/>
                <w:szCs w:val="24"/>
              </w:rPr>
              <w:t xml:space="preserve">: </w:t>
            </w:r>
          </w:p>
        </w:tc>
        <w:tc>
          <w:tcPr>
            <w:tcW w:w="4814" w:type="dxa"/>
          </w:tcPr>
          <w:p w:rsidR="006D1DE2" w:rsidRDefault="006D1DE2" w:rsidP="006D1DE2">
            <w:pPr>
              <w:rPr>
                <w:b/>
                <w:bCs/>
                <w:sz w:val="28"/>
                <w:szCs w:val="28"/>
              </w:rPr>
            </w:pPr>
            <w:r w:rsidRPr="006D1DE2">
              <w:rPr>
                <w:sz w:val="24"/>
                <w:szCs w:val="24"/>
              </w:rPr>
              <w:t>Personnummer</w:t>
            </w:r>
            <w:r>
              <w:rPr>
                <w:sz w:val="24"/>
                <w:szCs w:val="24"/>
              </w:rPr>
              <w:t>:</w:t>
            </w:r>
          </w:p>
        </w:tc>
      </w:tr>
      <w:tr w:rsidR="006D1DE2" w:rsidRPr="006D1DE2" w:rsidTr="006D1DE2">
        <w:trPr>
          <w:trHeight w:val="328"/>
        </w:trPr>
        <w:tc>
          <w:tcPr>
            <w:tcW w:w="4814" w:type="dxa"/>
          </w:tcPr>
          <w:p w:rsidR="006D1DE2" w:rsidRPr="006D1DE2" w:rsidRDefault="006D1DE2" w:rsidP="00AF16BE">
            <w:pPr>
              <w:rPr>
                <w:sz w:val="24"/>
                <w:szCs w:val="24"/>
              </w:rPr>
            </w:pPr>
            <w:r w:rsidRPr="006D1DE2">
              <w:rPr>
                <w:sz w:val="24"/>
                <w:szCs w:val="24"/>
              </w:rPr>
              <w:t xml:space="preserve">Adresse: </w:t>
            </w:r>
          </w:p>
          <w:p w:rsidR="006D1DE2" w:rsidRPr="006D1DE2" w:rsidRDefault="006D1DE2" w:rsidP="00AF16BE">
            <w:pPr>
              <w:rPr>
                <w:sz w:val="24"/>
                <w:szCs w:val="24"/>
              </w:rPr>
            </w:pPr>
          </w:p>
        </w:tc>
        <w:tc>
          <w:tcPr>
            <w:tcW w:w="4814" w:type="dxa"/>
          </w:tcPr>
          <w:p w:rsidR="006D1DE2" w:rsidRPr="006D1DE2" w:rsidRDefault="006D1DE2" w:rsidP="00AF16BE">
            <w:pPr>
              <w:rPr>
                <w:sz w:val="24"/>
                <w:szCs w:val="24"/>
              </w:rPr>
            </w:pPr>
            <w:r w:rsidRPr="006D1DE2">
              <w:rPr>
                <w:sz w:val="24"/>
                <w:szCs w:val="24"/>
              </w:rPr>
              <w:t xml:space="preserve">Telefonnummer: </w:t>
            </w:r>
          </w:p>
          <w:p w:rsidR="006D1DE2" w:rsidRPr="006D1DE2" w:rsidRDefault="006D1DE2" w:rsidP="006D1DE2">
            <w:pPr>
              <w:jc w:val="right"/>
              <w:rPr>
                <w:sz w:val="24"/>
                <w:szCs w:val="24"/>
              </w:rPr>
            </w:pPr>
          </w:p>
        </w:tc>
      </w:tr>
      <w:tr w:rsidR="006D1DE2" w:rsidRPr="006D1DE2" w:rsidTr="00606D5D">
        <w:tc>
          <w:tcPr>
            <w:tcW w:w="4814" w:type="dxa"/>
          </w:tcPr>
          <w:p w:rsidR="006D1DE2" w:rsidRPr="006D1DE2" w:rsidRDefault="006D1DE2" w:rsidP="00AF16BE">
            <w:pPr>
              <w:rPr>
                <w:sz w:val="24"/>
                <w:szCs w:val="24"/>
              </w:rPr>
            </w:pPr>
            <w:r>
              <w:rPr>
                <w:sz w:val="24"/>
                <w:szCs w:val="24"/>
              </w:rPr>
              <w:t xml:space="preserve">Evt. pårørende – navn: </w:t>
            </w:r>
          </w:p>
        </w:tc>
        <w:tc>
          <w:tcPr>
            <w:tcW w:w="4814" w:type="dxa"/>
          </w:tcPr>
          <w:p w:rsidR="006D1DE2" w:rsidRPr="006D1DE2" w:rsidRDefault="006D1DE2" w:rsidP="00AF16BE">
            <w:pPr>
              <w:rPr>
                <w:sz w:val="24"/>
                <w:szCs w:val="24"/>
              </w:rPr>
            </w:pPr>
            <w:r>
              <w:rPr>
                <w:sz w:val="24"/>
                <w:szCs w:val="24"/>
              </w:rPr>
              <w:t xml:space="preserve">Telefonnummer: </w:t>
            </w:r>
          </w:p>
          <w:p w:rsidR="006D1DE2" w:rsidRPr="006D1DE2" w:rsidRDefault="006D1DE2" w:rsidP="00AF16BE">
            <w:pPr>
              <w:rPr>
                <w:sz w:val="24"/>
                <w:szCs w:val="24"/>
              </w:rPr>
            </w:pPr>
          </w:p>
        </w:tc>
      </w:tr>
    </w:tbl>
    <w:p w:rsidR="001160B7" w:rsidRDefault="001160B7"/>
    <w:p w:rsidR="006D1DE2" w:rsidRDefault="006D1DE2">
      <w:pPr>
        <w:rPr>
          <w:sz w:val="24"/>
          <w:szCs w:val="24"/>
          <w:u w:val="single"/>
        </w:rPr>
      </w:pPr>
      <w:r>
        <w:rPr>
          <w:sz w:val="24"/>
          <w:szCs w:val="24"/>
          <w:u w:val="single"/>
        </w:rPr>
        <w:t xml:space="preserve">Opgørelse over mine årlige udgifter </w:t>
      </w:r>
    </w:p>
    <w:tbl>
      <w:tblPr>
        <w:tblStyle w:val="Tabel-Gitter"/>
        <w:tblW w:w="0" w:type="auto"/>
        <w:tblLook w:val="04A0" w:firstRow="1" w:lastRow="0" w:firstColumn="1" w:lastColumn="0" w:noHBand="0" w:noVBand="1"/>
      </w:tblPr>
      <w:tblGrid>
        <w:gridCol w:w="2361"/>
        <w:gridCol w:w="2741"/>
        <w:gridCol w:w="2265"/>
        <w:gridCol w:w="2261"/>
      </w:tblGrid>
      <w:tr w:rsidR="006D1DE2" w:rsidRPr="006D1DE2" w:rsidTr="006D1DE2">
        <w:trPr>
          <w:trHeight w:val="493"/>
        </w:trPr>
        <w:tc>
          <w:tcPr>
            <w:tcW w:w="2246" w:type="dxa"/>
          </w:tcPr>
          <w:p w:rsidR="006D1DE2" w:rsidRPr="00F90E6E" w:rsidRDefault="006D1DE2" w:rsidP="006D1DE2">
            <w:pPr>
              <w:jc w:val="center"/>
              <w:rPr>
                <w:b/>
                <w:bCs/>
              </w:rPr>
            </w:pPr>
            <w:r w:rsidRPr="00F90E6E">
              <w:rPr>
                <w:b/>
                <w:bCs/>
              </w:rPr>
              <w:t>Udgiften art</w:t>
            </w:r>
          </w:p>
        </w:tc>
        <w:tc>
          <w:tcPr>
            <w:tcW w:w="2776" w:type="dxa"/>
          </w:tcPr>
          <w:p w:rsidR="006D1DE2" w:rsidRPr="00F90E6E" w:rsidRDefault="006D1DE2" w:rsidP="006D1DE2">
            <w:pPr>
              <w:jc w:val="center"/>
              <w:rPr>
                <w:b/>
                <w:bCs/>
              </w:rPr>
            </w:pPr>
            <w:r w:rsidRPr="00F90E6E">
              <w:rPr>
                <w:b/>
                <w:bCs/>
              </w:rPr>
              <w:t>Forventet behov – antal gange/hvor</w:t>
            </w:r>
          </w:p>
        </w:tc>
        <w:tc>
          <w:tcPr>
            <w:tcW w:w="2303" w:type="dxa"/>
          </w:tcPr>
          <w:p w:rsidR="006D1DE2" w:rsidRPr="00F90E6E" w:rsidRDefault="006D1DE2" w:rsidP="006D1DE2">
            <w:pPr>
              <w:jc w:val="center"/>
              <w:rPr>
                <w:b/>
                <w:bCs/>
              </w:rPr>
            </w:pPr>
            <w:r w:rsidRPr="00F90E6E">
              <w:rPr>
                <w:b/>
                <w:bCs/>
              </w:rPr>
              <w:t>Pris pr. gang – kr.</w:t>
            </w:r>
          </w:p>
        </w:tc>
        <w:tc>
          <w:tcPr>
            <w:tcW w:w="2303" w:type="dxa"/>
          </w:tcPr>
          <w:p w:rsidR="006D1DE2" w:rsidRPr="00F90E6E" w:rsidRDefault="006D1DE2" w:rsidP="006D1DE2">
            <w:pPr>
              <w:jc w:val="center"/>
              <w:rPr>
                <w:b/>
                <w:bCs/>
              </w:rPr>
            </w:pPr>
            <w:r w:rsidRPr="00F90E6E">
              <w:rPr>
                <w:b/>
                <w:bCs/>
              </w:rPr>
              <w:t>I alt pr. år – kr.</w:t>
            </w:r>
          </w:p>
        </w:tc>
      </w:tr>
      <w:tr w:rsidR="006D1DE2" w:rsidRPr="006D1DE2" w:rsidTr="00823146">
        <w:trPr>
          <w:trHeight w:val="345"/>
        </w:trPr>
        <w:tc>
          <w:tcPr>
            <w:tcW w:w="2246" w:type="dxa"/>
          </w:tcPr>
          <w:p w:rsidR="006D1DE2" w:rsidRPr="00F90E6E" w:rsidRDefault="006D1DE2" w:rsidP="006D1DE2">
            <w:r w:rsidRPr="00F90E6E">
              <w:t xml:space="preserve">Transport </w:t>
            </w:r>
          </w:p>
        </w:tc>
        <w:tc>
          <w:tcPr>
            <w:tcW w:w="2776" w:type="dxa"/>
          </w:tcPr>
          <w:p w:rsidR="006D1DE2" w:rsidRPr="00F90E6E" w:rsidRDefault="006D1DE2" w:rsidP="006D1DE2"/>
          <w:p w:rsidR="006D1DE2" w:rsidRPr="00F90E6E" w:rsidRDefault="006D1DE2" w:rsidP="006D1DE2"/>
        </w:tc>
        <w:tc>
          <w:tcPr>
            <w:tcW w:w="2303" w:type="dxa"/>
          </w:tcPr>
          <w:p w:rsidR="006D1DE2" w:rsidRPr="00F90E6E" w:rsidRDefault="006D1DE2" w:rsidP="006D1DE2"/>
        </w:tc>
        <w:tc>
          <w:tcPr>
            <w:tcW w:w="2303" w:type="dxa"/>
          </w:tcPr>
          <w:p w:rsidR="006D1DE2" w:rsidRPr="00F90E6E" w:rsidRDefault="006D1DE2" w:rsidP="006D1DE2"/>
        </w:tc>
      </w:tr>
      <w:tr w:rsidR="006D1DE2" w:rsidRPr="006D1DE2" w:rsidTr="00823146">
        <w:trPr>
          <w:trHeight w:val="311"/>
        </w:trPr>
        <w:tc>
          <w:tcPr>
            <w:tcW w:w="2246" w:type="dxa"/>
          </w:tcPr>
          <w:p w:rsidR="00823146" w:rsidRPr="00F90E6E" w:rsidRDefault="00823146" w:rsidP="006D1DE2">
            <w:r w:rsidRPr="00F90E6E">
              <w:t>Biograf-, teaterbilletter, café besøg mm. (inkl. Mad, slik, sodavand osv.)</w:t>
            </w:r>
          </w:p>
        </w:tc>
        <w:tc>
          <w:tcPr>
            <w:tcW w:w="2776" w:type="dxa"/>
          </w:tcPr>
          <w:p w:rsidR="006D1DE2" w:rsidRPr="00F90E6E" w:rsidRDefault="006D1DE2" w:rsidP="006D1DE2">
            <w:r w:rsidRPr="00F90E6E">
              <w:t xml:space="preserve"> </w:t>
            </w:r>
          </w:p>
          <w:p w:rsidR="006D1DE2" w:rsidRPr="00F90E6E" w:rsidRDefault="006D1DE2" w:rsidP="006D1DE2"/>
        </w:tc>
        <w:tc>
          <w:tcPr>
            <w:tcW w:w="2303" w:type="dxa"/>
          </w:tcPr>
          <w:p w:rsidR="006D1DE2" w:rsidRPr="00F90E6E" w:rsidRDefault="006D1DE2" w:rsidP="006D1DE2"/>
        </w:tc>
        <w:tc>
          <w:tcPr>
            <w:tcW w:w="2303" w:type="dxa"/>
          </w:tcPr>
          <w:p w:rsidR="006D1DE2" w:rsidRPr="00F90E6E" w:rsidRDefault="006D1DE2" w:rsidP="006D1DE2"/>
        </w:tc>
      </w:tr>
      <w:tr w:rsidR="00823146" w:rsidRPr="006D1DE2" w:rsidTr="006D1DE2">
        <w:tc>
          <w:tcPr>
            <w:tcW w:w="2246" w:type="dxa"/>
          </w:tcPr>
          <w:p w:rsidR="00823146" w:rsidRPr="00F90E6E" w:rsidRDefault="00823146" w:rsidP="006D1DE2">
            <w:r w:rsidRPr="00F90E6E">
              <w:t xml:space="preserve">Overnatning – rejser/ture </w:t>
            </w:r>
          </w:p>
        </w:tc>
        <w:tc>
          <w:tcPr>
            <w:tcW w:w="2776" w:type="dxa"/>
          </w:tcPr>
          <w:p w:rsidR="00823146" w:rsidRPr="00F90E6E" w:rsidRDefault="00823146" w:rsidP="006D1DE2"/>
        </w:tc>
        <w:tc>
          <w:tcPr>
            <w:tcW w:w="2303" w:type="dxa"/>
          </w:tcPr>
          <w:p w:rsidR="00823146" w:rsidRPr="00F90E6E" w:rsidRDefault="00823146" w:rsidP="006D1DE2"/>
        </w:tc>
        <w:tc>
          <w:tcPr>
            <w:tcW w:w="2303" w:type="dxa"/>
          </w:tcPr>
          <w:p w:rsidR="00823146" w:rsidRPr="00F90E6E" w:rsidRDefault="00823146" w:rsidP="006D1DE2"/>
        </w:tc>
      </w:tr>
      <w:tr w:rsidR="00823146" w:rsidRPr="006D1DE2" w:rsidTr="006D1DE2">
        <w:tc>
          <w:tcPr>
            <w:tcW w:w="2246" w:type="dxa"/>
          </w:tcPr>
          <w:p w:rsidR="00823146" w:rsidRPr="00F90E6E" w:rsidRDefault="00823146" w:rsidP="006D1DE2">
            <w:r w:rsidRPr="00F90E6E">
              <w:t xml:space="preserve">Sport/foreningsaktivitet </w:t>
            </w:r>
          </w:p>
        </w:tc>
        <w:tc>
          <w:tcPr>
            <w:tcW w:w="2776" w:type="dxa"/>
          </w:tcPr>
          <w:p w:rsidR="00823146" w:rsidRPr="00F90E6E" w:rsidRDefault="00823146" w:rsidP="006D1DE2"/>
        </w:tc>
        <w:tc>
          <w:tcPr>
            <w:tcW w:w="2303" w:type="dxa"/>
          </w:tcPr>
          <w:p w:rsidR="00823146" w:rsidRPr="00F90E6E" w:rsidRDefault="00823146" w:rsidP="006D1DE2"/>
        </w:tc>
        <w:tc>
          <w:tcPr>
            <w:tcW w:w="2303" w:type="dxa"/>
          </w:tcPr>
          <w:p w:rsidR="00823146" w:rsidRPr="00F90E6E" w:rsidRDefault="00823146" w:rsidP="006D1DE2"/>
        </w:tc>
      </w:tr>
      <w:tr w:rsidR="00823146" w:rsidRPr="006D1DE2" w:rsidTr="006D1DE2">
        <w:tc>
          <w:tcPr>
            <w:tcW w:w="2246" w:type="dxa"/>
          </w:tcPr>
          <w:p w:rsidR="00823146" w:rsidRPr="00F90E6E" w:rsidRDefault="00823146" w:rsidP="006D1DE2">
            <w:r w:rsidRPr="00F90E6E">
              <w:t xml:space="preserve">Andet </w:t>
            </w:r>
          </w:p>
        </w:tc>
        <w:tc>
          <w:tcPr>
            <w:tcW w:w="2776" w:type="dxa"/>
          </w:tcPr>
          <w:p w:rsidR="00823146" w:rsidRPr="00F90E6E" w:rsidRDefault="00823146" w:rsidP="006D1DE2"/>
        </w:tc>
        <w:tc>
          <w:tcPr>
            <w:tcW w:w="2303" w:type="dxa"/>
          </w:tcPr>
          <w:p w:rsidR="00823146" w:rsidRPr="00F90E6E" w:rsidRDefault="00823146" w:rsidP="006D1DE2"/>
        </w:tc>
        <w:tc>
          <w:tcPr>
            <w:tcW w:w="2303" w:type="dxa"/>
          </w:tcPr>
          <w:p w:rsidR="00823146" w:rsidRPr="00F90E6E" w:rsidRDefault="00823146" w:rsidP="006D1DE2"/>
        </w:tc>
      </w:tr>
      <w:tr w:rsidR="00823146" w:rsidRPr="006D1DE2" w:rsidTr="006D1DE2">
        <w:tc>
          <w:tcPr>
            <w:tcW w:w="2246" w:type="dxa"/>
          </w:tcPr>
          <w:p w:rsidR="00823146" w:rsidRPr="00F90E6E" w:rsidRDefault="00823146" w:rsidP="006D1DE2"/>
        </w:tc>
        <w:tc>
          <w:tcPr>
            <w:tcW w:w="2776" w:type="dxa"/>
          </w:tcPr>
          <w:p w:rsidR="00823146" w:rsidRPr="00F90E6E" w:rsidRDefault="00823146" w:rsidP="006D1DE2"/>
        </w:tc>
        <w:tc>
          <w:tcPr>
            <w:tcW w:w="2303" w:type="dxa"/>
          </w:tcPr>
          <w:p w:rsidR="00823146" w:rsidRPr="00F90E6E" w:rsidRDefault="00823146" w:rsidP="006D1DE2"/>
        </w:tc>
        <w:tc>
          <w:tcPr>
            <w:tcW w:w="2303" w:type="dxa"/>
          </w:tcPr>
          <w:p w:rsidR="00823146" w:rsidRPr="00F90E6E" w:rsidRDefault="00823146" w:rsidP="006D1DE2"/>
        </w:tc>
      </w:tr>
      <w:tr w:rsidR="00823146" w:rsidRPr="006D1DE2" w:rsidTr="006D1DE2">
        <w:tc>
          <w:tcPr>
            <w:tcW w:w="2246" w:type="dxa"/>
          </w:tcPr>
          <w:p w:rsidR="00823146" w:rsidRPr="00F90E6E" w:rsidRDefault="00823146" w:rsidP="006D1DE2">
            <w:r w:rsidRPr="00F90E6E">
              <w:t xml:space="preserve">Årlig udgift i alt </w:t>
            </w:r>
          </w:p>
        </w:tc>
        <w:tc>
          <w:tcPr>
            <w:tcW w:w="2776" w:type="dxa"/>
          </w:tcPr>
          <w:p w:rsidR="00823146" w:rsidRPr="00F90E6E" w:rsidRDefault="00823146" w:rsidP="006D1DE2"/>
        </w:tc>
        <w:tc>
          <w:tcPr>
            <w:tcW w:w="2303" w:type="dxa"/>
          </w:tcPr>
          <w:p w:rsidR="00823146" w:rsidRPr="00F90E6E" w:rsidRDefault="00823146" w:rsidP="006D1DE2"/>
        </w:tc>
        <w:tc>
          <w:tcPr>
            <w:tcW w:w="2303" w:type="dxa"/>
          </w:tcPr>
          <w:p w:rsidR="00823146" w:rsidRPr="00F90E6E" w:rsidRDefault="00823146" w:rsidP="006D1DE2"/>
        </w:tc>
      </w:tr>
    </w:tbl>
    <w:p w:rsidR="001160B7" w:rsidRDefault="001160B7">
      <w:pPr>
        <w:rPr>
          <w:sz w:val="24"/>
          <w:szCs w:val="24"/>
        </w:rPr>
      </w:pPr>
    </w:p>
    <w:p w:rsidR="00823146" w:rsidRDefault="00823146">
      <w:pPr>
        <w:rPr>
          <w:sz w:val="24"/>
          <w:szCs w:val="24"/>
        </w:rPr>
      </w:pPr>
      <w:r>
        <w:rPr>
          <w:sz w:val="24"/>
          <w:szCs w:val="24"/>
        </w:rPr>
        <w:t xml:space="preserve">Ved bevilling, vil pengene blive udbetalt til din NemKonto. Du kan læse mere på </w:t>
      </w:r>
      <w:hyperlink r:id="rId6" w:history="1">
        <w:r w:rsidRPr="004F14D8">
          <w:rPr>
            <w:rStyle w:val="Hyperlink"/>
            <w:sz w:val="24"/>
            <w:szCs w:val="24"/>
          </w:rPr>
          <w:t>www.nemkonto.dk</w:t>
        </w:r>
      </w:hyperlink>
      <w:r>
        <w:rPr>
          <w:sz w:val="24"/>
          <w:szCs w:val="24"/>
        </w:rPr>
        <w:t xml:space="preserve"> </w:t>
      </w:r>
    </w:p>
    <w:p w:rsidR="001160B7" w:rsidRDefault="001160B7" w:rsidP="00F90E6E">
      <w:pPr>
        <w:rPr>
          <w:sz w:val="24"/>
          <w:szCs w:val="24"/>
          <w:u w:val="single"/>
        </w:rPr>
      </w:pPr>
    </w:p>
    <w:p w:rsidR="00F90E6E" w:rsidRPr="00F90E6E" w:rsidRDefault="00F90E6E" w:rsidP="001160B7">
      <w:pPr>
        <w:jc w:val="center"/>
        <w:rPr>
          <w:sz w:val="24"/>
          <w:szCs w:val="24"/>
          <w:u w:val="single"/>
        </w:rPr>
      </w:pPr>
      <w:r w:rsidRPr="00F90E6E">
        <w:rPr>
          <w:sz w:val="24"/>
          <w:szCs w:val="24"/>
          <w:u w:val="single"/>
        </w:rPr>
        <w:t>Dato og underskrift</w:t>
      </w:r>
    </w:p>
    <w:p w:rsidR="00F90E6E" w:rsidRPr="00F90E6E" w:rsidRDefault="00F90E6E" w:rsidP="00F90E6E">
      <w:r w:rsidRPr="00F90E6E">
        <w:t xml:space="preserve">Jeg erklærer på tro og love, at jeg har besvaret spørgsmålene i overensstemmelse med de faktiske forhold. Jeg er orienteret om min pligt til at give kommunen besked, hvis der sker ændringer i de oplyste forhold. Jeg er informeret om, at jeg har ret til indsigt med de oplysninger, som registreres om mig i forbindelse med min ansøgning, og at jeg kan henvende mig om til det til kommunen. Hvis der er registreret urigtige oplysninger, kan jeg kræve at få dem berigtiget. </w:t>
      </w:r>
    </w:p>
    <w:p w:rsidR="001160B7" w:rsidRDefault="001160B7">
      <w:pPr>
        <w:rPr>
          <w:b/>
          <w:bCs/>
          <w:sz w:val="24"/>
          <w:szCs w:val="24"/>
        </w:rPr>
      </w:pPr>
    </w:p>
    <w:p w:rsidR="00823146" w:rsidRDefault="00F90E6E">
      <w:pPr>
        <w:rPr>
          <w:sz w:val="24"/>
          <w:szCs w:val="24"/>
        </w:rPr>
      </w:pPr>
      <w:r w:rsidRPr="00F90E6E">
        <w:rPr>
          <w:b/>
          <w:bCs/>
          <w:sz w:val="24"/>
          <w:szCs w:val="24"/>
        </w:rPr>
        <w:t>Dato</w:t>
      </w:r>
      <w:r w:rsidRPr="00F90E6E">
        <w:rPr>
          <w:sz w:val="24"/>
          <w:szCs w:val="24"/>
        </w:rPr>
        <w:t xml:space="preserve">: _____________    </w:t>
      </w:r>
      <w:r w:rsidRPr="00F90E6E">
        <w:rPr>
          <w:b/>
          <w:bCs/>
          <w:sz w:val="24"/>
          <w:szCs w:val="24"/>
        </w:rPr>
        <w:t>Underskrift</w:t>
      </w:r>
      <w:r w:rsidRPr="00F90E6E">
        <w:rPr>
          <w:sz w:val="24"/>
          <w:szCs w:val="24"/>
        </w:rPr>
        <w:t>: __________________________________________________</w:t>
      </w:r>
    </w:p>
    <w:p w:rsidR="001160B7" w:rsidRDefault="001160B7">
      <w:pPr>
        <w:rPr>
          <w:sz w:val="24"/>
          <w:szCs w:val="24"/>
        </w:rPr>
      </w:pPr>
    </w:p>
    <w:p w:rsidR="001160B7" w:rsidRDefault="001160B7">
      <w:pPr>
        <w:rPr>
          <w:sz w:val="24"/>
          <w:szCs w:val="24"/>
        </w:rPr>
      </w:pPr>
      <w:r w:rsidRPr="00F90E6E">
        <w:rPr>
          <w:rFonts w:ascii="Arial" w:eastAsia="Times New Roman" w:hAnsi="Arial" w:cs="Arial"/>
          <w:noProof/>
          <w:sz w:val="24"/>
          <w:lang w:eastAsia="da-DK"/>
        </w:rPr>
        <w:lastRenderedPageBreak/>
        <mc:AlternateContent>
          <mc:Choice Requires="wps">
            <w:drawing>
              <wp:anchor distT="45720" distB="45720" distL="114300" distR="114300" simplePos="0" relativeHeight="251659264" behindDoc="1" locked="0" layoutInCell="1" allowOverlap="1" wp14:anchorId="1A155D06" wp14:editId="409E68BA">
                <wp:simplePos x="0" y="0"/>
                <wp:positionH relativeFrom="margin">
                  <wp:align>right</wp:align>
                </wp:positionH>
                <wp:positionV relativeFrom="paragraph">
                  <wp:posOffset>-167005</wp:posOffset>
                </wp:positionV>
                <wp:extent cx="6092456" cy="9029700"/>
                <wp:effectExtent l="0" t="0" r="22860" b="1905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456" cy="9029700"/>
                        </a:xfrm>
                        <a:prstGeom prst="rect">
                          <a:avLst/>
                        </a:prstGeom>
                        <a:solidFill>
                          <a:srgbClr val="FFFFFF"/>
                        </a:solidFill>
                        <a:ln w="9525">
                          <a:solidFill>
                            <a:srgbClr val="000000"/>
                          </a:solidFill>
                          <a:miter lim="800000"/>
                          <a:headEnd/>
                          <a:tailEnd/>
                        </a:ln>
                      </wps:spPr>
                      <wps:txbx>
                        <w:txbxContent>
                          <w:p w:rsidR="00F90E6E" w:rsidRPr="00DF7B1B" w:rsidRDefault="00F90E6E" w:rsidP="00F90E6E">
                            <w:pPr>
                              <w:rPr>
                                <w:b/>
                                <w:bCs/>
                                <w:sz w:val="20"/>
                              </w:rPr>
                            </w:pPr>
                            <w:r w:rsidRPr="00DF7B1B">
                              <w:rPr>
                                <w:b/>
                                <w:bCs/>
                                <w:sz w:val="20"/>
                              </w:rPr>
                              <w:t>Retsregler og praksis</w:t>
                            </w:r>
                          </w:p>
                          <w:p w:rsidR="00F90E6E" w:rsidRDefault="00F90E6E" w:rsidP="00F90E6E">
                            <w:pPr>
                              <w:spacing w:line="240" w:lineRule="auto"/>
                              <w:rPr>
                                <w:i/>
                                <w:sz w:val="18"/>
                              </w:rPr>
                            </w:pPr>
                            <w:r>
                              <w:rPr>
                                <w:b/>
                                <w:bCs/>
                                <w:i/>
                                <w:sz w:val="18"/>
                              </w:rPr>
                              <w:t xml:space="preserve">Serviceloven </w:t>
                            </w:r>
                            <w:r w:rsidRPr="00346DCB">
                              <w:rPr>
                                <w:b/>
                                <w:bCs/>
                                <w:i/>
                                <w:sz w:val="18"/>
                              </w:rPr>
                              <w:t>§ 97.</w:t>
                            </w:r>
                            <w:r w:rsidRPr="00346DCB">
                              <w:rPr>
                                <w:i/>
                                <w:sz w:val="18"/>
                              </w:rPr>
                              <w:t xml:space="preserve"> Kommunalbestyrelsen skal tilbyde 15 timers ledsagelse om måneden til personer under folkepensionsalderen, jf. </w:t>
                            </w:r>
                            <w:hyperlink r:id="rId7" w:anchor="p1a" w:history="1">
                              <w:r w:rsidRPr="00346DCB">
                                <w:rPr>
                                  <w:i/>
                                  <w:color w:val="0000FF"/>
                                  <w:sz w:val="18"/>
                                  <w:u w:val="single"/>
                                </w:rPr>
                                <w:t>§ 1 a</w:t>
                              </w:r>
                            </w:hyperlink>
                            <w:r w:rsidRPr="00346DCB">
                              <w:rPr>
                                <w:i/>
                                <w:sz w:val="18"/>
                              </w:rPr>
                              <w:t xml:space="preserve"> i lov om social pension, dog således at aldersgrænsen ikke kan blive mindre end 67 år. Ledsagelsen tilbydes til personer, der ikke kan færdes alene på grund af betydelig og varigt nedsat fysisk eller psykisk funktionsevne.</w:t>
                            </w:r>
                            <w:r w:rsidRPr="00346DCB">
                              <w:rPr>
                                <w:i/>
                                <w:sz w:val="18"/>
                              </w:rPr>
                              <w:br/>
                            </w:r>
                            <w:r w:rsidRPr="00346DCB">
                              <w:rPr>
                                <w:i/>
                                <w:iCs/>
                                <w:sz w:val="18"/>
                              </w:rPr>
                              <w:t>   Stk. 2.</w:t>
                            </w:r>
                            <w:r w:rsidRPr="00346DCB">
                              <w:rPr>
                                <w:i/>
                                <w:sz w:val="18"/>
                              </w:rPr>
                              <w:t xml:space="preserve"> Personer, der er visiteret til ledsagelse før folkepensionsalderen, jf. </w:t>
                            </w:r>
                            <w:hyperlink r:id="rId8" w:anchor="p1a" w:history="1">
                              <w:r w:rsidRPr="00346DCB">
                                <w:rPr>
                                  <w:i/>
                                  <w:color w:val="0000FF"/>
                                  <w:sz w:val="18"/>
                                  <w:u w:val="single"/>
                                </w:rPr>
                                <w:t>§ 1 a</w:t>
                              </w:r>
                            </w:hyperlink>
                            <w:r w:rsidRPr="00346DCB">
                              <w:rPr>
                                <w:i/>
                                <w:sz w:val="18"/>
                              </w:rPr>
                              <w:t xml:space="preserve"> i lov om social pension, bevarer retten til ledsagelse efter overgang til folkepension.</w:t>
                            </w:r>
                            <w:r w:rsidRPr="00346DCB">
                              <w:rPr>
                                <w:i/>
                                <w:sz w:val="18"/>
                              </w:rPr>
                              <w:br/>
                            </w:r>
                            <w:r w:rsidRPr="00346DCB">
                              <w:rPr>
                                <w:i/>
                                <w:iCs/>
                                <w:sz w:val="18"/>
                              </w:rPr>
                              <w:t>   Stk. 3.</w:t>
                            </w:r>
                            <w:r w:rsidRPr="00346DCB">
                              <w:rPr>
                                <w:i/>
                                <w:sz w:val="18"/>
                              </w:rPr>
                              <w:t xml:space="preserve"> En person, som er berettiget til ledsagelse, jf. stk. 1 eller stk. 2, har ret til selv at udpege en person til at udføre opgaven. Kommunen skal godkende og ansætte den udpegede person.</w:t>
                            </w:r>
                            <w:r w:rsidRPr="00346DCB">
                              <w:rPr>
                                <w:i/>
                                <w:sz w:val="18"/>
                              </w:rPr>
                              <w:br/>
                            </w:r>
                            <w:r w:rsidRPr="00346DCB">
                              <w:rPr>
                                <w:i/>
                                <w:iCs/>
                                <w:sz w:val="18"/>
                              </w:rPr>
                              <w:t>   Stk. 4.</w:t>
                            </w:r>
                            <w:r w:rsidRPr="00346DCB">
                              <w:rPr>
                                <w:i/>
                                <w:sz w:val="18"/>
                              </w:rPr>
                              <w:t xml:space="preserve"> Der kan normalt ikke ske ansættelse af personer med en meget nær tilknytning til den, der er berettiget til ledsagelse efter stk. 1 eller stk. 2.</w:t>
                            </w:r>
                            <w:r w:rsidRPr="00346DCB">
                              <w:rPr>
                                <w:i/>
                                <w:sz w:val="18"/>
                              </w:rPr>
                              <w:br/>
                            </w:r>
                            <w:r w:rsidRPr="00346DCB">
                              <w:rPr>
                                <w:i/>
                                <w:iCs/>
                                <w:sz w:val="18"/>
                              </w:rPr>
                              <w:t>   Stk. 5.</w:t>
                            </w:r>
                            <w:r w:rsidRPr="00346DCB">
                              <w:rPr>
                                <w:i/>
                                <w:sz w:val="18"/>
                              </w:rPr>
                              <w:t xml:space="preserve"> Kommunalbestyrelsen kan beslutte at tilbyde personer, som er berettiget til ledsagelse, jf. stk. 1 eller stk. 2, at få ydelsen udbetalt som et kontant tilskud til en ledsager, som de pågældende selv antager. Det er frivilligt for den berettigede at benytte tilbuddet.</w:t>
                            </w:r>
                            <w:r w:rsidRPr="00346DCB">
                              <w:rPr>
                                <w:i/>
                                <w:sz w:val="18"/>
                              </w:rPr>
                              <w:br/>
                            </w:r>
                            <w:r w:rsidRPr="00346DCB">
                              <w:rPr>
                                <w:i/>
                                <w:iCs/>
                                <w:sz w:val="18"/>
                              </w:rPr>
                              <w:t>   Stk. 6.</w:t>
                            </w:r>
                            <w:r w:rsidRPr="00346DCB">
                              <w:rPr>
                                <w:i/>
                                <w:sz w:val="18"/>
                              </w:rPr>
                              <w:t xml:space="preserve"> Modtageren kan opspare timer inden for en periode på 6 måneder. Kommunalbestyrelsen skal fastsætte retningslinjer herfor.</w:t>
                            </w:r>
                            <w:r w:rsidRPr="00346DCB">
                              <w:rPr>
                                <w:i/>
                                <w:sz w:val="18"/>
                              </w:rPr>
                              <w:br/>
                            </w:r>
                            <w:r w:rsidRPr="00346DCB">
                              <w:rPr>
                                <w:i/>
                                <w:iCs/>
                                <w:sz w:val="18"/>
                              </w:rPr>
                              <w:t>   Stk. 7.</w:t>
                            </w:r>
                            <w:r w:rsidRPr="00346DCB">
                              <w:rPr>
                                <w:i/>
                                <w:sz w:val="18"/>
                              </w:rPr>
                              <w:t xml:space="preserve"> Modtagerens udgifter til ledsagerens befordring og andre aktiviteter med tilknytning til ledsageordningen kan dækkes med et beløb som reguleres årligt. Beløbet ydes af kommunalbestyrelsen efter anmodning fra modtageren.</w:t>
                            </w:r>
                            <w:r w:rsidRPr="00346DCB">
                              <w:rPr>
                                <w:i/>
                                <w:sz w:val="18"/>
                              </w:rPr>
                              <w:br/>
                            </w:r>
                            <w:r w:rsidRPr="00346DCB">
                              <w:rPr>
                                <w:i/>
                                <w:iCs/>
                                <w:sz w:val="18"/>
                              </w:rPr>
                              <w:t>   Stk. 8.</w:t>
                            </w:r>
                            <w:r w:rsidRPr="00346DCB">
                              <w:rPr>
                                <w:i/>
                                <w:sz w:val="18"/>
                              </w:rPr>
                              <w:t xml:space="preserve"> Der kan ikke ydes ledsagelse efter denne bestemmelse til personer, der har hjælperordning efter </w:t>
                            </w:r>
                            <w:hyperlink r:id="rId9" w:anchor="p96" w:history="1">
                              <w:r w:rsidRPr="00346DCB">
                                <w:rPr>
                                  <w:i/>
                                  <w:color w:val="0000FF"/>
                                  <w:sz w:val="18"/>
                                  <w:u w:val="single"/>
                                </w:rPr>
                                <w:t>§ 96</w:t>
                              </w:r>
                            </w:hyperlink>
                            <w:r w:rsidRPr="00346DCB">
                              <w:rPr>
                                <w:i/>
                                <w:sz w:val="18"/>
                              </w:rPr>
                              <w:t>.</w:t>
                            </w:r>
                            <w:r w:rsidRPr="00346DCB">
                              <w:rPr>
                                <w:i/>
                                <w:sz w:val="18"/>
                              </w:rPr>
                              <w:br/>
                            </w:r>
                            <w:r w:rsidRPr="00346DCB">
                              <w:rPr>
                                <w:i/>
                                <w:iCs/>
                                <w:sz w:val="18"/>
                              </w:rPr>
                              <w:t>   Stk. 9.</w:t>
                            </w:r>
                            <w:r w:rsidRPr="00346DCB">
                              <w:rPr>
                                <w:i/>
                                <w:sz w:val="18"/>
                              </w:rPr>
                              <w:t xml:space="preserve"> Børne- og socialministeren kan i en bekendtgørelse fastsætte regler om betingelser for ledsageordningen.</w:t>
                            </w:r>
                          </w:p>
                          <w:p w:rsidR="00F90E6E" w:rsidRPr="00935C70" w:rsidRDefault="00F90E6E" w:rsidP="00F90E6E">
                            <w:pPr>
                              <w:pStyle w:val="paragraf"/>
                              <w:ind w:firstLine="0"/>
                              <w:rPr>
                                <w:rFonts w:asciiTheme="majorHAnsi" w:hAnsiTheme="majorHAnsi" w:cstheme="majorHAnsi"/>
                                <w:sz w:val="18"/>
                                <w:szCs w:val="18"/>
                              </w:rPr>
                            </w:pPr>
                            <w:r w:rsidRPr="00935C70">
                              <w:rPr>
                                <w:rFonts w:asciiTheme="majorHAnsi" w:hAnsiTheme="majorHAnsi" w:cstheme="majorHAnsi"/>
                                <w:b/>
                                <w:bCs/>
                                <w:sz w:val="18"/>
                                <w:szCs w:val="18"/>
                              </w:rPr>
                              <w:t xml:space="preserve">Retssikkerhedsloven </w:t>
                            </w:r>
                            <w:r w:rsidRPr="00935C70">
                              <w:rPr>
                                <w:rStyle w:val="paragrafnr1"/>
                                <w:rFonts w:asciiTheme="majorHAnsi" w:hAnsiTheme="majorHAnsi" w:cstheme="majorHAnsi"/>
                                <w:sz w:val="18"/>
                                <w:szCs w:val="18"/>
                              </w:rPr>
                              <w:t>§ 11.</w:t>
                            </w:r>
                            <w:r w:rsidRPr="00935C70">
                              <w:rPr>
                                <w:rFonts w:asciiTheme="majorHAnsi" w:hAnsiTheme="majorHAnsi" w:cstheme="majorHAnsi"/>
                                <w:sz w:val="18"/>
                                <w:szCs w:val="18"/>
                              </w:rPr>
                              <w:t xml:space="preserve"> Myndigheden kan anmode personer, der søger om eller får hjælp, om</w:t>
                            </w:r>
                          </w:p>
                          <w:p w:rsidR="00F90E6E" w:rsidRPr="00935C70" w:rsidRDefault="00F90E6E" w:rsidP="00F90E6E">
                            <w:pPr>
                              <w:pStyle w:val="liste1"/>
                              <w:rPr>
                                <w:rFonts w:asciiTheme="majorHAnsi" w:hAnsiTheme="majorHAnsi" w:cstheme="majorHAnsi"/>
                                <w:sz w:val="18"/>
                                <w:szCs w:val="18"/>
                              </w:rPr>
                            </w:pPr>
                            <w:r w:rsidRPr="00935C70">
                              <w:rPr>
                                <w:rStyle w:val="liste1nr1"/>
                                <w:rFonts w:asciiTheme="majorHAnsi" w:hAnsiTheme="majorHAnsi" w:cstheme="majorHAnsi"/>
                                <w:sz w:val="18"/>
                                <w:szCs w:val="18"/>
                              </w:rPr>
                              <w:t>1)</w:t>
                            </w:r>
                            <w:r w:rsidRPr="00935C70">
                              <w:rPr>
                                <w:rFonts w:asciiTheme="majorHAnsi" w:hAnsiTheme="majorHAnsi" w:cstheme="majorHAnsi"/>
                                <w:sz w:val="18"/>
                                <w:szCs w:val="18"/>
                              </w:rPr>
                              <w:t xml:space="preserve"> at medvirke til at få de oplysninger frem, som er nødvendige for at afgøre, hvilken hjælp de er berettiget til, og</w:t>
                            </w:r>
                          </w:p>
                          <w:p w:rsidR="00F90E6E" w:rsidRPr="00935C70" w:rsidRDefault="00F90E6E" w:rsidP="00F90E6E">
                            <w:pPr>
                              <w:pStyle w:val="liste1"/>
                              <w:rPr>
                                <w:rFonts w:asciiTheme="majorHAnsi" w:hAnsiTheme="majorHAnsi" w:cstheme="majorHAnsi"/>
                                <w:sz w:val="18"/>
                                <w:szCs w:val="18"/>
                              </w:rPr>
                            </w:pPr>
                            <w:r w:rsidRPr="00935C70">
                              <w:rPr>
                                <w:rStyle w:val="liste1nr1"/>
                                <w:rFonts w:asciiTheme="majorHAnsi" w:hAnsiTheme="majorHAnsi" w:cstheme="majorHAnsi"/>
                                <w:sz w:val="18"/>
                                <w:szCs w:val="18"/>
                              </w:rPr>
                              <w:t>2)</w:t>
                            </w:r>
                            <w:r w:rsidRPr="00935C70">
                              <w:rPr>
                                <w:rFonts w:asciiTheme="majorHAnsi" w:hAnsiTheme="majorHAnsi" w:cstheme="majorHAnsi"/>
                                <w:sz w:val="18"/>
                                <w:szCs w:val="18"/>
                              </w:rPr>
                              <w:t xml:space="preserve"> at lade sig undersøge hos en læge eller blive indlagt til observation og behandling som led i sagsbehandlingen.</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2.</w:t>
                            </w:r>
                            <w:r w:rsidRPr="00935C70">
                              <w:rPr>
                                <w:rFonts w:asciiTheme="majorHAnsi" w:hAnsiTheme="majorHAnsi" w:cstheme="majorHAnsi"/>
                                <w:sz w:val="18"/>
                                <w:szCs w:val="18"/>
                              </w:rPr>
                              <w:t xml:space="preserve"> Personer, der får hjælp, har pligt til at oplyse om ændringer, der kan have betydning for hjælpen.</w:t>
                            </w:r>
                          </w:p>
                          <w:p w:rsidR="00F90E6E" w:rsidRPr="00935C70" w:rsidRDefault="00F90E6E" w:rsidP="00F90E6E">
                            <w:pPr>
                              <w:pStyle w:val="paragraf"/>
                              <w:rPr>
                                <w:rFonts w:asciiTheme="majorHAnsi" w:hAnsiTheme="majorHAnsi" w:cstheme="majorHAnsi"/>
                                <w:sz w:val="18"/>
                                <w:szCs w:val="18"/>
                              </w:rPr>
                            </w:pPr>
                            <w:r w:rsidRPr="00935C70">
                              <w:rPr>
                                <w:rStyle w:val="paragrafnr2"/>
                                <w:rFonts w:asciiTheme="majorHAnsi" w:hAnsiTheme="majorHAnsi" w:cstheme="majorHAnsi"/>
                                <w:sz w:val="18"/>
                                <w:szCs w:val="18"/>
                              </w:rPr>
                              <w:t>§ 11 a.</w:t>
                            </w:r>
                            <w:r w:rsidRPr="00935C70">
                              <w:rPr>
                                <w:rFonts w:asciiTheme="majorHAnsi" w:hAnsiTheme="majorHAnsi" w:cstheme="majorHAnsi"/>
                                <w:sz w:val="18"/>
                                <w:szCs w:val="18"/>
                              </w:rPr>
                              <w:t xml:space="preserve"> Myndigheden kan efter forudgående samtykke fra den, der søger om eller får hjælp, forlange, at andre offentlige myndigheder, uddannelsesinstitutioner, sygehuse, læger, psykologer, autoriserede sundhedspersoner i øvrigt og personer, der handler på disses ansvar, arbejdsløshedskasser, pengeinstitutter, arbejdsgivere og private, der udfører opgaver for det offentlige, giver oplysninger om den pågældende, der er nødvendige for at behandle sagen. Dette gælder også oplysninger om en persons rent private forhold og andre fortrolige oplysninger, ligesom myndigheden kan indhente lægejournaler, sygehusjournaler eller udskrifter heraf. Myndigheden kan forlange, at der optages retsligt forhør i overensstemmelse med retsplejelovens § 1018, hvis oplysningerne ikke videregives.</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2.</w:t>
                            </w:r>
                            <w:r w:rsidRPr="00935C70">
                              <w:rPr>
                                <w:rFonts w:asciiTheme="majorHAnsi" w:hAnsiTheme="majorHAnsi" w:cstheme="majorHAnsi"/>
                                <w:sz w:val="18"/>
                                <w:szCs w:val="18"/>
                              </w:rPr>
                              <w:t xml:space="preserve"> Myndigheden kan uden samtykke til brug for behandlingen af en enkelt sag eller til brug for generel kontrol kræve oplysninger om økonomiske forhold og ferieforhold om den, der ansøger om eller får hjælp, og dennes ægtefælle eller samlever, fra andre offentlige myndigheder samt fra arbejdsløshedskasser. Tilsvarende oplysninger kan indhentes om andre husstandsmedlemmer. Oplysninger kan samkøres og sammenstilles med data fra myndighedens egne, andre myndigheders og arbejdsløshedskassers it-systemer, når dette er nødvendigt for at kontrollere, om betingelserne for at yde hjælp er opfyldt, herunder med henblik på efterfølgende kontrol af, om der er sket fejl eller misbrug i forbindelse med ydelse af hjælp. Oplysningerne kan indhentes, selv om den person, som oplysningerne vedrører, ikke bor i den kommune, som indhenter oplysningerne.</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3.</w:t>
                            </w:r>
                            <w:r w:rsidRPr="00935C70">
                              <w:rPr>
                                <w:rFonts w:asciiTheme="majorHAnsi" w:hAnsiTheme="majorHAnsi" w:cstheme="majorHAnsi"/>
                                <w:sz w:val="18"/>
                                <w:szCs w:val="18"/>
                              </w:rPr>
                              <w:t xml:space="preserve"> Kommunalbestyrelsen kan uden samtykke fra borgeren forlange at få nødvendige oplysninger om økonomiske forhold fra pengeinstitutter og arbejdsgivere til brug for stikprøvekontrol i sager efter lov om social pension og lov om højeste, mellemste, forhøjet almindelig og almindelig førtidspension m.v. med henblik på at kontrollere pensionistens indkomst- og formueforhold. Oplysningerne kan sammenstilles med øvrige oplysninger om økonomiske forhold, som kommunen er i besiddelse af med henblik på kontrol af, om der er sket misbrug i forbindelse med udbetaling af social pension.</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4.</w:t>
                            </w:r>
                            <w:r w:rsidRPr="00935C70">
                              <w:rPr>
                                <w:rFonts w:asciiTheme="majorHAnsi" w:hAnsiTheme="majorHAnsi" w:cstheme="majorHAnsi"/>
                                <w:sz w:val="18"/>
                                <w:szCs w:val="18"/>
                              </w:rPr>
                              <w:t xml:space="preserve"> Adgang til oplysninger efter stk. 2, som vedrører optjente feriedage, optjent feriegodtgørelse, tidspunktet for afholdelse af ferie og udbetalinger af feriepenge, og som er registreret i Feriekonto, skal ske via den elektroniske adgang, som Feriekonto stiller til rådighed.</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5.</w:t>
                            </w:r>
                            <w:r w:rsidRPr="00935C70">
                              <w:rPr>
                                <w:rFonts w:asciiTheme="majorHAnsi" w:hAnsiTheme="majorHAnsi" w:cstheme="majorHAnsi"/>
                                <w:sz w:val="18"/>
                                <w:szCs w:val="18"/>
                              </w:rPr>
                              <w:t xml:space="preserve"> Myndigheden kan få terminaladgang til de nødvendige oplysninger som nævnt i stk. 1 og 2 i indkomstregisteret, jf. § 7 i lov om et indkomstregister. I det omfang oplysningerne som nævnt i stk. 1 eller 2 findes i indkomstregisteret, skal myndigheden indhente oplysningerne herfra, jf. dog stk. 4.</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6.</w:t>
                            </w:r>
                            <w:r w:rsidRPr="00935C70">
                              <w:rPr>
                                <w:rFonts w:asciiTheme="majorHAnsi" w:hAnsiTheme="majorHAnsi" w:cstheme="majorHAnsi"/>
                                <w:sz w:val="18"/>
                                <w:szCs w:val="18"/>
                              </w:rPr>
                              <w:t xml:space="preserve"> Ved klage til Ankestyrelsen kan samtykke til at indhente oplysninger efter § 11 a, stk. 1, indhentes ved, at borgeren i den skriftlige bekræftelse af, at en klage er modtaget, bliver gjort opmærksom på, hvilke typer af oplysninger det kan blive nødvendigt at indhente, og får en frist til eventuelt at gøre indsigelse imod dette. Tilsvarende gælder ved Udbetaling Danmarks behandling af sager efter lov om social pension og lov om højeste, mellemste, forhøjet almindelig og almindelig førtidspension m.v. for personer med bopæl i udlandet.</w:t>
                            </w:r>
                          </w:p>
                          <w:p w:rsidR="00F90E6E" w:rsidRPr="00935C70" w:rsidRDefault="00F90E6E" w:rsidP="00F90E6E">
                            <w:pPr>
                              <w:pStyle w:val="paragraf"/>
                              <w:rPr>
                                <w:rFonts w:asciiTheme="majorHAnsi" w:hAnsiTheme="majorHAnsi" w:cstheme="majorHAnsi"/>
                                <w:sz w:val="18"/>
                                <w:szCs w:val="18"/>
                              </w:rPr>
                            </w:pPr>
                            <w:r w:rsidRPr="00935C70">
                              <w:rPr>
                                <w:rStyle w:val="paragrafnr3"/>
                                <w:rFonts w:asciiTheme="majorHAnsi" w:hAnsiTheme="majorHAnsi" w:cstheme="majorHAnsi"/>
                                <w:sz w:val="18"/>
                                <w:szCs w:val="18"/>
                              </w:rPr>
                              <w:t>§ 11 b.</w:t>
                            </w:r>
                            <w:r w:rsidRPr="00935C70">
                              <w:rPr>
                                <w:rFonts w:asciiTheme="majorHAnsi" w:hAnsiTheme="majorHAnsi" w:cstheme="majorHAnsi"/>
                                <w:sz w:val="18"/>
                                <w:szCs w:val="18"/>
                              </w:rPr>
                              <w:t xml:space="preserve"> Hvis borgeren ikke medvirker, jf. § 11, stk. 1, nr. 1 og 2, eller ikke giver samtykke til, at myndigheden kan indhente oplysninger, jf. § 11 a, stk. 1, skal myndigheden behandle sagen om hjælp på det foreliggende grundlag, medmindre oplysninger kan indhentes uden samtykke, jf. § 11 a, stk. 2, og § 11 c.</w:t>
                            </w:r>
                          </w:p>
                          <w:p w:rsidR="00F90E6E" w:rsidRPr="00935C70" w:rsidRDefault="00F90E6E" w:rsidP="00F90E6E">
                            <w:pPr>
                              <w:spacing w:line="240" w:lineRule="auto"/>
                              <w:rPr>
                                <w:rFonts w:asciiTheme="majorHAnsi" w:hAnsiTheme="majorHAnsi" w:cstheme="majorHAnsi"/>
                                <w:bCs/>
                                <w:i/>
                                <w:sz w:val="18"/>
                                <w:szCs w:val="18"/>
                              </w:rPr>
                            </w:pPr>
                          </w:p>
                          <w:p w:rsidR="00F90E6E" w:rsidRPr="00346DCB" w:rsidRDefault="00F90E6E" w:rsidP="00F90E6E">
                            <w:pPr>
                              <w:spacing w:line="240" w:lineRule="auto"/>
                              <w:rPr>
                                <w:bCs/>
                                <w: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5D06" id="_x0000_s1027" type="#_x0000_t202" style="position:absolute;margin-left:428.5pt;margin-top:-13.15pt;width:479.7pt;height:711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">
                <v:textbox>
                  <w:txbxContent>
                    <w:p w:rsidR="00F90E6E" w:rsidRPr="00DF7B1B" w:rsidRDefault="00F90E6E" w:rsidP="00F90E6E">
                      <w:pPr>
                        <w:rPr>
                          <w:b/>
                          <w:bCs/>
                          <w:sz w:val="20"/>
                        </w:rPr>
                      </w:pPr>
                      <w:r w:rsidRPr="00DF7B1B">
                        <w:rPr>
                          <w:b/>
                          <w:bCs/>
                          <w:sz w:val="20"/>
                        </w:rPr>
                        <w:t>Retsregler og praksis</w:t>
                      </w:r>
                    </w:p>
                    <w:p w:rsidR="00F90E6E" w:rsidRDefault="00F90E6E" w:rsidP="00F90E6E">
                      <w:pPr>
                        <w:spacing w:line="240" w:lineRule="auto"/>
                        <w:rPr>
                          <w:i/>
                          <w:sz w:val="18"/>
                        </w:rPr>
                      </w:pPr>
                      <w:r>
                        <w:rPr>
                          <w:b/>
                          <w:bCs/>
                          <w:i/>
                          <w:sz w:val="18"/>
                        </w:rPr>
                        <w:t xml:space="preserve">Serviceloven </w:t>
                      </w:r>
                      <w:r w:rsidRPr="00346DCB">
                        <w:rPr>
                          <w:b/>
                          <w:bCs/>
                          <w:i/>
                          <w:sz w:val="18"/>
                        </w:rPr>
                        <w:t>§ 97.</w:t>
                      </w:r>
                      <w:r w:rsidRPr="00346DCB">
                        <w:rPr>
                          <w:i/>
                          <w:sz w:val="18"/>
                        </w:rPr>
                        <w:t xml:space="preserve"> Kommunalbestyrelsen skal tilbyde 15 timers ledsagelse om måneden til personer under folkepensionsalderen, jf. </w:t>
                      </w:r>
                      <w:hyperlink r:id="rId10" w:anchor="p1a" w:history="1">
                        <w:r w:rsidRPr="00346DCB">
                          <w:rPr>
                            <w:i/>
                            <w:color w:val="0000FF"/>
                            <w:sz w:val="18"/>
                            <w:u w:val="single"/>
                          </w:rPr>
                          <w:t>§ 1 a</w:t>
                        </w:r>
                      </w:hyperlink>
                      <w:r w:rsidRPr="00346DCB">
                        <w:rPr>
                          <w:i/>
                          <w:sz w:val="18"/>
                        </w:rPr>
                        <w:t xml:space="preserve"> i lov om social pension, dog således at aldersgrænsen ikke kan blive mindre end 67 år. Ledsagelsen tilbydes til personer, der ikke kan færdes alene på grund af betydelig og varigt nedsat fysisk eller psykisk funktionsevne.</w:t>
                      </w:r>
                      <w:r w:rsidRPr="00346DCB">
                        <w:rPr>
                          <w:i/>
                          <w:sz w:val="18"/>
                        </w:rPr>
                        <w:br/>
                      </w:r>
                      <w:r w:rsidRPr="00346DCB">
                        <w:rPr>
                          <w:i/>
                          <w:iCs/>
                          <w:sz w:val="18"/>
                        </w:rPr>
                        <w:t>   Stk. 2.</w:t>
                      </w:r>
                      <w:r w:rsidRPr="00346DCB">
                        <w:rPr>
                          <w:i/>
                          <w:sz w:val="18"/>
                        </w:rPr>
                        <w:t xml:space="preserve"> Personer, der er visiteret til ledsagelse før folkepensionsalderen, jf. </w:t>
                      </w:r>
                      <w:hyperlink r:id="rId11" w:anchor="p1a" w:history="1">
                        <w:r w:rsidRPr="00346DCB">
                          <w:rPr>
                            <w:i/>
                            <w:color w:val="0000FF"/>
                            <w:sz w:val="18"/>
                            <w:u w:val="single"/>
                          </w:rPr>
                          <w:t>§ 1 a</w:t>
                        </w:r>
                      </w:hyperlink>
                      <w:r w:rsidRPr="00346DCB">
                        <w:rPr>
                          <w:i/>
                          <w:sz w:val="18"/>
                        </w:rPr>
                        <w:t xml:space="preserve"> i lov om social pension, bevarer retten til ledsagelse efter overgang til folkepension.</w:t>
                      </w:r>
                      <w:r w:rsidRPr="00346DCB">
                        <w:rPr>
                          <w:i/>
                          <w:sz w:val="18"/>
                        </w:rPr>
                        <w:br/>
                      </w:r>
                      <w:r w:rsidRPr="00346DCB">
                        <w:rPr>
                          <w:i/>
                          <w:iCs/>
                          <w:sz w:val="18"/>
                        </w:rPr>
                        <w:t>   Stk. 3.</w:t>
                      </w:r>
                      <w:r w:rsidRPr="00346DCB">
                        <w:rPr>
                          <w:i/>
                          <w:sz w:val="18"/>
                        </w:rPr>
                        <w:t xml:space="preserve"> En person, som er berettiget til ledsagelse, jf. stk. 1 eller stk. 2, har ret til selv at udpege en person til at udføre opgaven. Kommunen skal godkende og ansætte den udpegede person.</w:t>
                      </w:r>
                      <w:r w:rsidRPr="00346DCB">
                        <w:rPr>
                          <w:i/>
                          <w:sz w:val="18"/>
                        </w:rPr>
                        <w:br/>
                      </w:r>
                      <w:r w:rsidRPr="00346DCB">
                        <w:rPr>
                          <w:i/>
                          <w:iCs/>
                          <w:sz w:val="18"/>
                        </w:rPr>
                        <w:t>   Stk. 4.</w:t>
                      </w:r>
                      <w:r w:rsidRPr="00346DCB">
                        <w:rPr>
                          <w:i/>
                          <w:sz w:val="18"/>
                        </w:rPr>
                        <w:t xml:space="preserve"> Der kan normalt ikke ske ansættelse af personer med en meget nær tilknytning til den, der er berettiget til ledsagelse efter stk. 1 eller stk. 2.</w:t>
                      </w:r>
                      <w:r w:rsidRPr="00346DCB">
                        <w:rPr>
                          <w:i/>
                          <w:sz w:val="18"/>
                        </w:rPr>
                        <w:br/>
                      </w:r>
                      <w:r w:rsidRPr="00346DCB">
                        <w:rPr>
                          <w:i/>
                          <w:iCs/>
                          <w:sz w:val="18"/>
                        </w:rPr>
                        <w:t>   Stk. 5.</w:t>
                      </w:r>
                      <w:r w:rsidRPr="00346DCB">
                        <w:rPr>
                          <w:i/>
                          <w:sz w:val="18"/>
                        </w:rPr>
                        <w:t xml:space="preserve"> Kommunalbestyrelsen kan beslutte at tilbyde personer, som er berettiget til ledsagelse, jf. stk. 1 eller stk. 2, at få ydelsen udbetalt som et kontant tilskud til en ledsager, som de pågældende selv antager. Det er frivilligt for den berettigede at benytte tilbuddet.</w:t>
                      </w:r>
                      <w:r w:rsidRPr="00346DCB">
                        <w:rPr>
                          <w:i/>
                          <w:sz w:val="18"/>
                        </w:rPr>
                        <w:br/>
                      </w:r>
                      <w:r w:rsidRPr="00346DCB">
                        <w:rPr>
                          <w:i/>
                          <w:iCs/>
                          <w:sz w:val="18"/>
                        </w:rPr>
                        <w:t>   Stk. 6.</w:t>
                      </w:r>
                      <w:r w:rsidRPr="00346DCB">
                        <w:rPr>
                          <w:i/>
                          <w:sz w:val="18"/>
                        </w:rPr>
                        <w:t xml:space="preserve"> Modtageren kan opspare timer inden for en periode på 6 måneder. Kommunalbestyrelsen skal fastsætte retningslinjer herfor.</w:t>
                      </w:r>
                      <w:r w:rsidRPr="00346DCB">
                        <w:rPr>
                          <w:i/>
                          <w:sz w:val="18"/>
                        </w:rPr>
                        <w:br/>
                      </w:r>
                      <w:r w:rsidRPr="00346DCB">
                        <w:rPr>
                          <w:i/>
                          <w:iCs/>
                          <w:sz w:val="18"/>
                        </w:rPr>
                        <w:t>   Stk. 7.</w:t>
                      </w:r>
                      <w:r w:rsidRPr="00346DCB">
                        <w:rPr>
                          <w:i/>
                          <w:sz w:val="18"/>
                        </w:rPr>
                        <w:t xml:space="preserve"> Modtagerens udgifter til ledsagerens befordring og andre aktiviteter med tilknytning til ledsageordningen kan dækkes med et beløb som reguleres årligt. Beløbet ydes af kommunalbestyrelsen efter anmodning fra modtageren.</w:t>
                      </w:r>
                      <w:r w:rsidRPr="00346DCB">
                        <w:rPr>
                          <w:i/>
                          <w:sz w:val="18"/>
                        </w:rPr>
                        <w:br/>
                      </w:r>
                      <w:r w:rsidRPr="00346DCB">
                        <w:rPr>
                          <w:i/>
                          <w:iCs/>
                          <w:sz w:val="18"/>
                        </w:rPr>
                        <w:t>   Stk. 8.</w:t>
                      </w:r>
                      <w:r w:rsidRPr="00346DCB">
                        <w:rPr>
                          <w:i/>
                          <w:sz w:val="18"/>
                        </w:rPr>
                        <w:t xml:space="preserve"> Der kan ikke ydes ledsagelse efter denne bestemmelse til personer, der har hjælperordning efter </w:t>
                      </w:r>
                      <w:hyperlink r:id="rId12" w:anchor="p96" w:history="1">
                        <w:r w:rsidRPr="00346DCB">
                          <w:rPr>
                            <w:i/>
                            <w:color w:val="0000FF"/>
                            <w:sz w:val="18"/>
                            <w:u w:val="single"/>
                          </w:rPr>
                          <w:t>§ 96</w:t>
                        </w:r>
                      </w:hyperlink>
                      <w:r w:rsidRPr="00346DCB">
                        <w:rPr>
                          <w:i/>
                          <w:sz w:val="18"/>
                        </w:rPr>
                        <w:t>.</w:t>
                      </w:r>
                      <w:r w:rsidRPr="00346DCB">
                        <w:rPr>
                          <w:i/>
                          <w:sz w:val="18"/>
                        </w:rPr>
                        <w:br/>
                      </w:r>
                      <w:r w:rsidRPr="00346DCB">
                        <w:rPr>
                          <w:i/>
                          <w:iCs/>
                          <w:sz w:val="18"/>
                        </w:rPr>
                        <w:t>   Stk. 9.</w:t>
                      </w:r>
                      <w:r w:rsidRPr="00346DCB">
                        <w:rPr>
                          <w:i/>
                          <w:sz w:val="18"/>
                        </w:rPr>
                        <w:t xml:space="preserve"> Børne- og socialministeren kan i en bekendtgørelse fastsætte regler om betingelser for ledsageordningen.</w:t>
                      </w:r>
                    </w:p>
                    <w:p w:rsidR="00F90E6E" w:rsidRPr="00935C70" w:rsidRDefault="00F90E6E" w:rsidP="00F90E6E">
                      <w:pPr>
                        <w:pStyle w:val="paragraf"/>
                        <w:ind w:firstLine="0"/>
                        <w:rPr>
                          <w:rFonts w:asciiTheme="majorHAnsi" w:hAnsiTheme="majorHAnsi" w:cstheme="majorHAnsi"/>
                          <w:sz w:val="18"/>
                          <w:szCs w:val="18"/>
                        </w:rPr>
                      </w:pPr>
                      <w:r w:rsidRPr="00935C70">
                        <w:rPr>
                          <w:rFonts w:asciiTheme="majorHAnsi" w:hAnsiTheme="majorHAnsi" w:cstheme="majorHAnsi"/>
                          <w:b/>
                          <w:bCs/>
                          <w:sz w:val="18"/>
                          <w:szCs w:val="18"/>
                        </w:rPr>
                        <w:t xml:space="preserve">Retssikkerhedsloven </w:t>
                      </w:r>
                      <w:r w:rsidRPr="00935C70">
                        <w:rPr>
                          <w:rStyle w:val="paragrafnr1"/>
                          <w:rFonts w:asciiTheme="majorHAnsi" w:hAnsiTheme="majorHAnsi" w:cstheme="majorHAnsi"/>
                          <w:sz w:val="18"/>
                          <w:szCs w:val="18"/>
                        </w:rPr>
                        <w:t>§ 11.</w:t>
                      </w:r>
                      <w:r w:rsidRPr="00935C70">
                        <w:rPr>
                          <w:rFonts w:asciiTheme="majorHAnsi" w:hAnsiTheme="majorHAnsi" w:cstheme="majorHAnsi"/>
                          <w:sz w:val="18"/>
                          <w:szCs w:val="18"/>
                        </w:rPr>
                        <w:t xml:space="preserve"> Myndigheden kan anmode personer, der søger om eller får hjælp, om</w:t>
                      </w:r>
                    </w:p>
                    <w:p w:rsidR="00F90E6E" w:rsidRPr="00935C70" w:rsidRDefault="00F90E6E" w:rsidP="00F90E6E">
                      <w:pPr>
                        <w:pStyle w:val="liste1"/>
                        <w:rPr>
                          <w:rFonts w:asciiTheme="majorHAnsi" w:hAnsiTheme="majorHAnsi" w:cstheme="majorHAnsi"/>
                          <w:sz w:val="18"/>
                          <w:szCs w:val="18"/>
                        </w:rPr>
                      </w:pPr>
                      <w:r w:rsidRPr="00935C70">
                        <w:rPr>
                          <w:rStyle w:val="liste1nr1"/>
                          <w:rFonts w:asciiTheme="majorHAnsi" w:hAnsiTheme="majorHAnsi" w:cstheme="majorHAnsi"/>
                          <w:sz w:val="18"/>
                          <w:szCs w:val="18"/>
                        </w:rPr>
                        <w:t>1)</w:t>
                      </w:r>
                      <w:r w:rsidRPr="00935C70">
                        <w:rPr>
                          <w:rFonts w:asciiTheme="majorHAnsi" w:hAnsiTheme="majorHAnsi" w:cstheme="majorHAnsi"/>
                          <w:sz w:val="18"/>
                          <w:szCs w:val="18"/>
                        </w:rPr>
                        <w:t xml:space="preserve"> at medvirke til at få de oplysninger frem, som er nødvendige for at afgøre, hvilken hjælp de er berettiget til, og</w:t>
                      </w:r>
                    </w:p>
                    <w:p w:rsidR="00F90E6E" w:rsidRPr="00935C70" w:rsidRDefault="00F90E6E" w:rsidP="00F90E6E">
                      <w:pPr>
                        <w:pStyle w:val="liste1"/>
                        <w:rPr>
                          <w:rFonts w:asciiTheme="majorHAnsi" w:hAnsiTheme="majorHAnsi" w:cstheme="majorHAnsi"/>
                          <w:sz w:val="18"/>
                          <w:szCs w:val="18"/>
                        </w:rPr>
                      </w:pPr>
                      <w:r w:rsidRPr="00935C70">
                        <w:rPr>
                          <w:rStyle w:val="liste1nr1"/>
                          <w:rFonts w:asciiTheme="majorHAnsi" w:hAnsiTheme="majorHAnsi" w:cstheme="majorHAnsi"/>
                          <w:sz w:val="18"/>
                          <w:szCs w:val="18"/>
                        </w:rPr>
                        <w:t>2)</w:t>
                      </w:r>
                      <w:r w:rsidRPr="00935C70">
                        <w:rPr>
                          <w:rFonts w:asciiTheme="majorHAnsi" w:hAnsiTheme="majorHAnsi" w:cstheme="majorHAnsi"/>
                          <w:sz w:val="18"/>
                          <w:szCs w:val="18"/>
                        </w:rPr>
                        <w:t xml:space="preserve"> at lade sig undersøge hos en læge eller blive indlagt til observation og behandling som led i sagsbehandlingen.</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2.</w:t>
                      </w:r>
                      <w:r w:rsidRPr="00935C70">
                        <w:rPr>
                          <w:rFonts w:asciiTheme="majorHAnsi" w:hAnsiTheme="majorHAnsi" w:cstheme="majorHAnsi"/>
                          <w:sz w:val="18"/>
                          <w:szCs w:val="18"/>
                        </w:rPr>
                        <w:t xml:space="preserve"> Personer, der får hjælp, har pligt til at oplyse om ændringer, der kan have betydning for hjælpen.</w:t>
                      </w:r>
                    </w:p>
                    <w:p w:rsidR="00F90E6E" w:rsidRPr="00935C70" w:rsidRDefault="00F90E6E" w:rsidP="00F90E6E">
                      <w:pPr>
                        <w:pStyle w:val="paragraf"/>
                        <w:rPr>
                          <w:rFonts w:asciiTheme="majorHAnsi" w:hAnsiTheme="majorHAnsi" w:cstheme="majorHAnsi"/>
                          <w:sz w:val="18"/>
                          <w:szCs w:val="18"/>
                        </w:rPr>
                      </w:pPr>
                      <w:r w:rsidRPr="00935C70">
                        <w:rPr>
                          <w:rStyle w:val="paragrafnr2"/>
                          <w:rFonts w:asciiTheme="majorHAnsi" w:hAnsiTheme="majorHAnsi" w:cstheme="majorHAnsi"/>
                          <w:sz w:val="18"/>
                          <w:szCs w:val="18"/>
                        </w:rPr>
                        <w:t>§ 11 a.</w:t>
                      </w:r>
                      <w:r w:rsidRPr="00935C70">
                        <w:rPr>
                          <w:rFonts w:asciiTheme="majorHAnsi" w:hAnsiTheme="majorHAnsi" w:cstheme="majorHAnsi"/>
                          <w:sz w:val="18"/>
                          <w:szCs w:val="18"/>
                        </w:rPr>
                        <w:t xml:space="preserve"> Myndigheden kan efter forudgående samtykke fra den, der søger om eller får hjælp, forlange, at andre offentlige myndigheder, uddannelsesinstitutioner, sygehuse, læger, psykologer, autoriserede sundhedspersoner i øvrigt og personer, der handler på disses ansvar, arbejdsløshedskasser, pengeinstitutter, arbejdsgivere og private, der udfører opgaver for det offentlige, giver oplysninger om den pågældende, der er nødvendige for at behandle sagen. Dette gælder også oplysninger om en persons rent private forhold og andre fortrolige oplysninger, ligesom myndigheden kan indhente lægejournaler, sygehusjournaler eller udskrifter heraf. Myndigheden kan forlange, at der optages retsligt forhør i overensstemmelse med retsplejelovens § 1018, hvis oplysningerne ikke videregives.</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2.</w:t>
                      </w:r>
                      <w:r w:rsidRPr="00935C70">
                        <w:rPr>
                          <w:rFonts w:asciiTheme="majorHAnsi" w:hAnsiTheme="majorHAnsi" w:cstheme="majorHAnsi"/>
                          <w:sz w:val="18"/>
                          <w:szCs w:val="18"/>
                        </w:rPr>
                        <w:t xml:space="preserve"> Myndigheden kan uden samtykke til brug for behandlingen af en enkelt sag eller til brug for generel kontrol kræve oplysninger om økonomiske forhold og ferieforhold om den, der ansøger om eller får hjælp, og dennes ægtefælle eller samlever, fra andre offentlige myndigheder samt fra arbejdsløshedskasser. Tilsvarende oplysninger kan indhentes om andre husstandsmedlemmer. Oplysninger kan samkøres og sammenstilles med data fra myndighedens egne, andre myndigheders og arbejdsløshedskassers it-systemer, når dette er nødvendigt for at kontrollere, om betingelserne for at yde hjælp er opfyldt, herunder med henblik på efterfølgende kontrol af, om der er sket fejl eller misbrug i forbindelse med ydelse af hjælp. Oplysningerne kan indhentes, selv om den person, som oplysningerne vedrører, ikke bor i den kommune, som indhenter oplysningerne.</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3.</w:t>
                      </w:r>
                      <w:r w:rsidRPr="00935C70">
                        <w:rPr>
                          <w:rFonts w:asciiTheme="majorHAnsi" w:hAnsiTheme="majorHAnsi" w:cstheme="majorHAnsi"/>
                          <w:sz w:val="18"/>
                          <w:szCs w:val="18"/>
                        </w:rPr>
                        <w:t xml:space="preserve"> Kommunalbestyrelsen kan uden samtykke fra borgeren forlange at få nødvendige oplysninger om økonomiske forhold fra pengeinstitutter og arbejdsgivere til brug for stikprøvekontrol i sager efter lov om social pension og lov om højeste, mellemste, forhøjet almindelig og almindelig førtidspension m.v. med henblik på at kontrollere pensionistens indkomst- og formueforhold. Oplysningerne kan sammenstilles med øvrige oplysninger om økonomiske forhold, som kommunen er i besiddelse af med henblik på kontrol af, om der er sket misbrug i forbindelse med udbetaling af social pension.</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4.</w:t>
                      </w:r>
                      <w:r w:rsidRPr="00935C70">
                        <w:rPr>
                          <w:rFonts w:asciiTheme="majorHAnsi" w:hAnsiTheme="majorHAnsi" w:cstheme="majorHAnsi"/>
                          <w:sz w:val="18"/>
                          <w:szCs w:val="18"/>
                        </w:rPr>
                        <w:t xml:space="preserve"> Adgang til oplysninger efter stk. 2, som vedrører optjente feriedage, optjent feriegodtgørelse, tidspunktet for afholdelse af ferie og udbetalinger af feriepenge, og som er registreret i Feriekonto, skal ske via den elektroniske adgang, som Feriekonto stiller til rådighed.</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5.</w:t>
                      </w:r>
                      <w:r w:rsidRPr="00935C70">
                        <w:rPr>
                          <w:rFonts w:asciiTheme="majorHAnsi" w:hAnsiTheme="majorHAnsi" w:cstheme="majorHAnsi"/>
                          <w:sz w:val="18"/>
                          <w:szCs w:val="18"/>
                        </w:rPr>
                        <w:t xml:space="preserve"> Myndigheden kan få terminaladgang til de nødvendige oplysninger som nævnt i stk. 1 og 2 i indkomstregisteret, jf. § 7 i lov om et indkomstregister. I det omfang oplysningerne som nævnt i stk. 1 eller 2 findes i indkomstregisteret, skal myndigheden indhente oplysningerne herfra, jf. dog stk. 4.</w:t>
                      </w:r>
                    </w:p>
                    <w:p w:rsidR="00F90E6E" w:rsidRPr="00935C70" w:rsidRDefault="00F90E6E" w:rsidP="00F90E6E">
                      <w:pPr>
                        <w:pStyle w:val="stk2"/>
                        <w:rPr>
                          <w:rFonts w:asciiTheme="majorHAnsi" w:hAnsiTheme="majorHAnsi" w:cstheme="majorHAnsi"/>
                          <w:sz w:val="18"/>
                          <w:szCs w:val="18"/>
                        </w:rPr>
                      </w:pPr>
                      <w:r w:rsidRPr="00935C70">
                        <w:rPr>
                          <w:rStyle w:val="stknr1"/>
                          <w:rFonts w:asciiTheme="majorHAnsi" w:hAnsiTheme="majorHAnsi" w:cstheme="majorHAnsi"/>
                          <w:sz w:val="18"/>
                          <w:szCs w:val="18"/>
                        </w:rPr>
                        <w:t>Stk. 6.</w:t>
                      </w:r>
                      <w:r w:rsidRPr="00935C70">
                        <w:rPr>
                          <w:rFonts w:asciiTheme="majorHAnsi" w:hAnsiTheme="majorHAnsi" w:cstheme="majorHAnsi"/>
                          <w:sz w:val="18"/>
                          <w:szCs w:val="18"/>
                        </w:rPr>
                        <w:t xml:space="preserve"> Ved klage til Ankestyrelsen kan samtykke til at indhente oplysninger efter § 11 a, stk. 1, indhentes ved, at borgeren i den skriftlige bekræftelse af, at en klage er modtaget, bliver gjort opmærksom på, hvilke typer af oplysninger det kan blive nødvendigt at indhente, og får en frist til eventuelt at gøre indsigelse imod dette. Tilsvarende gælder ved Udbetaling Danmarks behandling af sager efter lov om social pension og lov om højeste, mellemste, forhøjet almindelig og almindelig førtidspension m.v. for personer med bopæl i udlandet.</w:t>
                      </w:r>
                    </w:p>
                    <w:p w:rsidR="00F90E6E" w:rsidRPr="00935C70" w:rsidRDefault="00F90E6E" w:rsidP="00F90E6E">
                      <w:pPr>
                        <w:pStyle w:val="paragraf"/>
                        <w:rPr>
                          <w:rFonts w:asciiTheme="majorHAnsi" w:hAnsiTheme="majorHAnsi" w:cstheme="majorHAnsi"/>
                          <w:sz w:val="18"/>
                          <w:szCs w:val="18"/>
                        </w:rPr>
                      </w:pPr>
                      <w:r w:rsidRPr="00935C70">
                        <w:rPr>
                          <w:rStyle w:val="paragrafnr3"/>
                          <w:rFonts w:asciiTheme="majorHAnsi" w:hAnsiTheme="majorHAnsi" w:cstheme="majorHAnsi"/>
                          <w:sz w:val="18"/>
                          <w:szCs w:val="18"/>
                        </w:rPr>
                        <w:t>§ 11 b.</w:t>
                      </w:r>
                      <w:r w:rsidRPr="00935C70">
                        <w:rPr>
                          <w:rFonts w:asciiTheme="majorHAnsi" w:hAnsiTheme="majorHAnsi" w:cstheme="majorHAnsi"/>
                          <w:sz w:val="18"/>
                          <w:szCs w:val="18"/>
                        </w:rPr>
                        <w:t xml:space="preserve"> Hvis borgeren ikke medvirker, jf. § 11, stk. 1, nr. 1 og 2, eller ikke giver samtykke til, at myndigheden kan indhente oplysninger, jf. § 11 a, stk. 1, skal myndigheden behandle sagen om hjælp på det foreliggende grundlag, medmindre oplysninger kan indhentes uden samtykke, jf. § 11 a, stk. 2, og § 11 c.</w:t>
                      </w:r>
                    </w:p>
                    <w:p w:rsidR="00F90E6E" w:rsidRPr="00935C70" w:rsidRDefault="00F90E6E" w:rsidP="00F90E6E">
                      <w:pPr>
                        <w:spacing w:line="240" w:lineRule="auto"/>
                        <w:rPr>
                          <w:rFonts w:asciiTheme="majorHAnsi" w:hAnsiTheme="majorHAnsi" w:cstheme="majorHAnsi"/>
                          <w:bCs/>
                          <w:i/>
                          <w:sz w:val="18"/>
                          <w:szCs w:val="18"/>
                        </w:rPr>
                      </w:pPr>
                    </w:p>
                    <w:p w:rsidR="00F90E6E" w:rsidRPr="00346DCB" w:rsidRDefault="00F90E6E" w:rsidP="00F90E6E">
                      <w:pPr>
                        <w:spacing w:line="240" w:lineRule="auto"/>
                        <w:rPr>
                          <w:bCs/>
                          <w:i/>
                          <w:sz w:val="18"/>
                        </w:rPr>
                      </w:pPr>
                    </w:p>
                  </w:txbxContent>
                </v:textbox>
                <w10:wrap anchorx="margin"/>
              </v:shape>
            </w:pict>
          </mc:Fallback>
        </mc:AlternateContent>
      </w:r>
    </w:p>
    <w:p w:rsidR="00F90E6E" w:rsidRPr="00F90E6E" w:rsidRDefault="00F90E6E">
      <w:pPr>
        <w:rPr>
          <w:sz w:val="24"/>
          <w:szCs w:val="24"/>
        </w:rPr>
      </w:pPr>
    </w:p>
    <w:sectPr w:rsidR="00F90E6E" w:rsidRPr="00F90E6E">
      <w:head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0B7" w:rsidRDefault="001160B7" w:rsidP="001160B7">
      <w:pPr>
        <w:spacing w:after="0" w:line="240" w:lineRule="auto"/>
      </w:pPr>
      <w:r>
        <w:separator/>
      </w:r>
    </w:p>
  </w:endnote>
  <w:endnote w:type="continuationSeparator" w:id="0">
    <w:p w:rsidR="001160B7" w:rsidRDefault="001160B7" w:rsidP="0011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0B7" w:rsidRDefault="001160B7" w:rsidP="001160B7">
      <w:pPr>
        <w:spacing w:after="0" w:line="240" w:lineRule="auto"/>
      </w:pPr>
      <w:r>
        <w:separator/>
      </w:r>
    </w:p>
  </w:footnote>
  <w:footnote w:type="continuationSeparator" w:id="0">
    <w:p w:rsidR="001160B7" w:rsidRDefault="001160B7" w:rsidP="00116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0B7" w:rsidRPr="001160B7" w:rsidRDefault="001160B7">
    <w:pPr>
      <w:pStyle w:val="Sidehoved"/>
      <w:rPr>
        <w:color w:val="808080" w:themeColor="background1" w:themeShade="80"/>
      </w:rPr>
    </w:pPr>
    <w:r w:rsidRPr="001160B7">
      <w:rPr>
        <w:color w:val="808080" w:themeColor="background1" w:themeShade="80"/>
      </w:rPr>
      <w:t xml:space="preserve">Sendes til kommunen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2A"/>
    <w:rsid w:val="001160B7"/>
    <w:rsid w:val="00136806"/>
    <w:rsid w:val="00416010"/>
    <w:rsid w:val="006D1DE2"/>
    <w:rsid w:val="00823146"/>
    <w:rsid w:val="008864B6"/>
    <w:rsid w:val="00B20B08"/>
    <w:rsid w:val="00EF592A"/>
    <w:rsid w:val="00F90E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4150"/>
  <w15:chartTrackingRefBased/>
  <w15:docId w15:val="{876D9B47-F234-4853-9285-E4D66BE3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3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23146"/>
    <w:rPr>
      <w:color w:val="0563C1" w:themeColor="hyperlink"/>
      <w:u w:val="single"/>
    </w:rPr>
  </w:style>
  <w:style w:type="character" w:styleId="Ulstomtale">
    <w:name w:val="Unresolved Mention"/>
    <w:basedOn w:val="Standardskrifttypeiafsnit"/>
    <w:uiPriority w:val="99"/>
    <w:semiHidden/>
    <w:unhideWhenUsed/>
    <w:rsid w:val="00823146"/>
    <w:rPr>
      <w:color w:val="605E5C"/>
      <w:shd w:val="clear" w:color="auto" w:fill="E1DFDD"/>
    </w:rPr>
  </w:style>
  <w:style w:type="paragraph" w:customStyle="1" w:styleId="paragraf">
    <w:name w:val="paragraf"/>
    <w:basedOn w:val="Normal"/>
    <w:rsid w:val="00F90E6E"/>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F90E6E"/>
    <w:pPr>
      <w:spacing w:after="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F90E6E"/>
    <w:pPr>
      <w:spacing w:after="0"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F90E6E"/>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F90E6E"/>
    <w:rPr>
      <w:rFonts w:ascii="Tahoma" w:hAnsi="Tahoma" w:cs="Tahoma" w:hint="default"/>
      <w:color w:val="000000"/>
      <w:sz w:val="24"/>
      <w:szCs w:val="24"/>
      <w:shd w:val="clear" w:color="auto" w:fill="auto"/>
    </w:rPr>
  </w:style>
  <w:style w:type="character" w:customStyle="1" w:styleId="stknr1">
    <w:name w:val="stknr1"/>
    <w:basedOn w:val="Standardskrifttypeiafsnit"/>
    <w:rsid w:val="00F90E6E"/>
    <w:rPr>
      <w:rFonts w:ascii="Tahoma" w:hAnsi="Tahoma" w:cs="Tahoma" w:hint="default"/>
      <w:i/>
      <w:iCs/>
      <w:color w:val="000000"/>
      <w:sz w:val="24"/>
      <w:szCs w:val="24"/>
      <w:shd w:val="clear" w:color="auto" w:fill="auto"/>
    </w:rPr>
  </w:style>
  <w:style w:type="character" w:customStyle="1" w:styleId="paragrafnr2">
    <w:name w:val="paragrafnr2"/>
    <w:basedOn w:val="Standardskrifttypeiafsnit"/>
    <w:rsid w:val="00F90E6E"/>
    <w:rPr>
      <w:rFonts w:ascii="Tahoma" w:hAnsi="Tahoma" w:cs="Tahoma" w:hint="default"/>
      <w:b/>
      <w:bCs/>
      <w:color w:val="000000"/>
      <w:sz w:val="24"/>
      <w:szCs w:val="24"/>
      <w:shd w:val="clear" w:color="auto" w:fill="auto"/>
    </w:rPr>
  </w:style>
  <w:style w:type="character" w:customStyle="1" w:styleId="paragrafnr3">
    <w:name w:val="paragrafnr3"/>
    <w:basedOn w:val="Standardskrifttypeiafsnit"/>
    <w:rsid w:val="00F90E6E"/>
    <w:rPr>
      <w:rFonts w:ascii="Tahoma" w:hAnsi="Tahoma" w:cs="Tahoma" w:hint="default"/>
      <w:b/>
      <w:bCs/>
      <w:color w:val="000000"/>
      <w:sz w:val="24"/>
      <w:szCs w:val="24"/>
      <w:shd w:val="clear" w:color="auto" w:fill="auto"/>
    </w:rPr>
  </w:style>
  <w:style w:type="paragraph" w:styleId="Sidehoved">
    <w:name w:val="header"/>
    <w:basedOn w:val="Normal"/>
    <w:link w:val="SidehovedTegn"/>
    <w:uiPriority w:val="99"/>
    <w:unhideWhenUsed/>
    <w:rsid w:val="001160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60B7"/>
  </w:style>
  <w:style w:type="paragraph" w:styleId="Sidefod">
    <w:name w:val="footer"/>
    <w:basedOn w:val="Normal"/>
    <w:link w:val="SidefodTegn"/>
    <w:uiPriority w:val="99"/>
    <w:unhideWhenUsed/>
    <w:rsid w:val="001160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ialforvaltning.lovportaler.dk/showdoc.aspx?hashparam=p1a&amp;schultzlink=lov19840217"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cialforvaltning.lovportaler.dk/showdoc.aspx?hashparam=p1a&amp;schultzlink=lov19840217" TargetMode="External"/><Relationship Id="rId12" Type="http://schemas.openxmlformats.org/officeDocument/2006/relationships/hyperlink" Target="http://socialforvaltning.lovportaler.dk/showdoc.aspx?docId=lov20050573-full&amp;activesolution=http%3a%2f%2fkommunekoncept.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mkonto.dk" TargetMode="External"/><Relationship Id="rId11" Type="http://schemas.openxmlformats.org/officeDocument/2006/relationships/hyperlink" Target="http://socialforvaltning.lovportaler.dk/showdoc.aspx?hashparam=p1a&amp;schultzlink=lov19840217"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ocialforvaltning.lovportaler.dk/showdoc.aspx?hashparam=p1a&amp;schultzlink=lov19840217" TargetMode="External"/><Relationship Id="rId4" Type="http://schemas.openxmlformats.org/officeDocument/2006/relationships/footnotes" Target="footnotes.xml"/><Relationship Id="rId9" Type="http://schemas.openxmlformats.org/officeDocument/2006/relationships/hyperlink" Target="http://socialforvaltning.lovportaler.dk/showdoc.aspx?docId=lov20050573-full&amp;activesolution=http%3a%2f%2fkommunekoncept.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181</Words>
  <Characters>1105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Isaksen Johansen</dc:creator>
  <cp:keywords/>
  <dc:description/>
  <cp:lastModifiedBy>Line Isaksen Johansen</cp:lastModifiedBy>
  <cp:revision>4</cp:revision>
  <dcterms:created xsi:type="dcterms:W3CDTF">2019-05-29T11:25:00Z</dcterms:created>
  <dcterms:modified xsi:type="dcterms:W3CDTF">2019-06-11T08:08:00Z</dcterms:modified>
</cp:coreProperties>
</file>